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7" w:rsidRPr="00077537" w:rsidRDefault="00077537" w:rsidP="00077537">
      <w:pPr>
        <w:ind w:firstLine="10490"/>
        <w:jc w:val="both"/>
        <w:rPr>
          <w:bCs/>
        </w:rPr>
      </w:pPr>
      <w:bookmarkStart w:id="0" w:name="_GoBack"/>
      <w:bookmarkEnd w:id="0"/>
      <w:r w:rsidRPr="00077537">
        <w:rPr>
          <w:bCs/>
        </w:rPr>
        <w:t>PATVIRTINTA</w:t>
      </w:r>
    </w:p>
    <w:p w:rsidR="00077537" w:rsidRPr="00077537" w:rsidRDefault="00077537" w:rsidP="00077537">
      <w:pPr>
        <w:ind w:firstLine="10490"/>
        <w:jc w:val="both"/>
        <w:rPr>
          <w:bCs/>
        </w:rPr>
      </w:pPr>
      <w:r w:rsidRPr="00077537">
        <w:rPr>
          <w:bCs/>
        </w:rPr>
        <w:t xml:space="preserve">Klaipėdos miesto savivaldybės </w:t>
      </w:r>
    </w:p>
    <w:p w:rsidR="00077537" w:rsidRPr="00077537" w:rsidRDefault="00077537" w:rsidP="00077537">
      <w:pPr>
        <w:ind w:firstLine="10490"/>
        <w:jc w:val="both"/>
        <w:rPr>
          <w:bCs/>
        </w:rPr>
      </w:pPr>
      <w:r w:rsidRPr="00077537">
        <w:rPr>
          <w:bCs/>
        </w:rPr>
        <w:t>tarybos 2012 m gruodžio 20 d.</w:t>
      </w:r>
    </w:p>
    <w:p w:rsidR="00077537" w:rsidRDefault="00077537" w:rsidP="00077537">
      <w:pPr>
        <w:ind w:firstLine="10490"/>
        <w:jc w:val="both"/>
      </w:pPr>
      <w:r w:rsidRPr="00077537">
        <w:rPr>
          <w:bCs/>
        </w:rPr>
        <w:t>sprendimu T2-321</w:t>
      </w:r>
    </w:p>
    <w:p w:rsidR="004F22B3" w:rsidRDefault="004F22B3" w:rsidP="00536966">
      <w:pPr>
        <w:ind w:firstLine="10490"/>
        <w:jc w:val="both"/>
      </w:pPr>
      <w:r>
        <w:t xml:space="preserve">Klaipėdos neformaliojo švietimo </w:t>
      </w:r>
    </w:p>
    <w:p w:rsidR="004F22B3" w:rsidRDefault="004F22B3" w:rsidP="00536966">
      <w:pPr>
        <w:ind w:firstLine="10490"/>
        <w:jc w:val="both"/>
      </w:pPr>
      <w:r>
        <w:t>mokyklų</w:t>
      </w:r>
      <w:r w:rsidRPr="00940EFA">
        <w:t xml:space="preserve"> veiklos išorinio vertinimo</w:t>
      </w:r>
      <w:r>
        <w:t xml:space="preserve"> </w:t>
      </w:r>
    </w:p>
    <w:p w:rsidR="004F22B3" w:rsidRPr="00940EFA" w:rsidRDefault="004F22B3" w:rsidP="00536966">
      <w:pPr>
        <w:ind w:firstLine="10490"/>
        <w:jc w:val="both"/>
      </w:pPr>
      <w:r w:rsidRPr="00940EFA">
        <w:t xml:space="preserve">tvarkos aprašo </w:t>
      </w:r>
    </w:p>
    <w:p w:rsidR="004F22B3" w:rsidRPr="00940EFA" w:rsidRDefault="004F22B3" w:rsidP="00536966">
      <w:pPr>
        <w:ind w:firstLine="10490"/>
        <w:jc w:val="both"/>
      </w:pPr>
      <w:r w:rsidRPr="00940EFA">
        <w:t xml:space="preserve">3 priedas </w:t>
      </w:r>
    </w:p>
    <w:p w:rsidR="004F22B3" w:rsidRPr="00940EFA" w:rsidRDefault="004F22B3" w:rsidP="000F76B9">
      <w:pPr>
        <w:ind w:left="11520"/>
        <w:jc w:val="both"/>
      </w:pPr>
    </w:p>
    <w:p w:rsidR="004F22B3" w:rsidRPr="00940EFA" w:rsidRDefault="004F22B3" w:rsidP="000F76B9">
      <w:pPr>
        <w:jc w:val="center"/>
        <w:rPr>
          <w:b/>
        </w:rPr>
      </w:pPr>
      <w:r w:rsidRPr="00940EFA">
        <w:rPr>
          <w:b/>
        </w:rPr>
        <w:t xml:space="preserve">IKIMOKYKLINIO UGDYMO MOKYKLŲ (TOLIAU </w:t>
      </w:r>
      <w:r>
        <w:rPr>
          <w:b/>
        </w:rPr>
        <w:t>–</w:t>
      </w:r>
      <w:r w:rsidRPr="00940EFA">
        <w:rPr>
          <w:b/>
        </w:rPr>
        <w:t xml:space="preserve"> IUM) IŠORINIO VERTINIMO SRITYS, TEMOS IR VEIKLOS RODIKLIAI </w:t>
      </w:r>
    </w:p>
    <w:p w:rsidR="004F22B3" w:rsidRPr="00940EFA" w:rsidRDefault="004F22B3" w:rsidP="000F76B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111"/>
        <w:gridCol w:w="7165"/>
      </w:tblGrid>
      <w:tr w:rsidR="004F22B3" w:rsidRPr="00940EFA" w:rsidTr="00077537">
        <w:tc>
          <w:tcPr>
            <w:tcW w:w="2943" w:type="dxa"/>
          </w:tcPr>
          <w:p w:rsidR="004F22B3" w:rsidRPr="00940EFA" w:rsidRDefault="004F22B3" w:rsidP="00D53FF6">
            <w:pPr>
              <w:jc w:val="center"/>
              <w:rPr>
                <w:bCs/>
              </w:rPr>
            </w:pPr>
            <w:r w:rsidRPr="00940EFA">
              <w:rPr>
                <w:bCs/>
              </w:rPr>
              <w:t>Sritis</w:t>
            </w:r>
          </w:p>
        </w:tc>
        <w:tc>
          <w:tcPr>
            <w:tcW w:w="4111" w:type="dxa"/>
          </w:tcPr>
          <w:p w:rsidR="004F22B3" w:rsidRPr="00940EFA" w:rsidRDefault="004F22B3" w:rsidP="00D53FF6">
            <w:pPr>
              <w:jc w:val="center"/>
              <w:rPr>
                <w:bCs/>
              </w:rPr>
            </w:pPr>
            <w:r w:rsidRPr="00940EFA">
              <w:rPr>
                <w:bCs/>
              </w:rPr>
              <w:t>Temos</w:t>
            </w:r>
          </w:p>
        </w:tc>
        <w:tc>
          <w:tcPr>
            <w:tcW w:w="7165" w:type="dxa"/>
          </w:tcPr>
          <w:p w:rsidR="004F22B3" w:rsidRPr="00940EFA" w:rsidRDefault="004F22B3" w:rsidP="00D53FF6">
            <w:pPr>
              <w:jc w:val="center"/>
              <w:rPr>
                <w:bCs/>
              </w:rPr>
            </w:pPr>
            <w:r w:rsidRPr="00940EFA">
              <w:rPr>
                <w:bCs/>
              </w:rPr>
              <w:t>Veiklos rodikliai</w:t>
            </w:r>
          </w:p>
        </w:tc>
      </w:tr>
      <w:tr w:rsidR="004F22B3" w:rsidRPr="00940EFA" w:rsidTr="00077537">
        <w:tc>
          <w:tcPr>
            <w:tcW w:w="2943" w:type="dxa"/>
            <w:vMerge w:val="restart"/>
          </w:tcPr>
          <w:p w:rsidR="004F22B3" w:rsidRPr="00940EFA" w:rsidRDefault="004F22B3" w:rsidP="00D85302">
            <w:pPr>
              <w:rPr>
                <w:b/>
              </w:rPr>
            </w:pPr>
            <w:r w:rsidRPr="00940EFA">
              <w:t>1. IUM  kultūra</w:t>
            </w: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pPr>
              <w:rPr>
                <w:b/>
              </w:rPr>
            </w:pPr>
            <w:r w:rsidRPr="00940EFA">
              <w:t>1.1. Etosas</w:t>
            </w:r>
          </w:p>
        </w:tc>
        <w:tc>
          <w:tcPr>
            <w:tcW w:w="7165" w:type="dxa"/>
          </w:tcPr>
          <w:p w:rsidR="004F22B3" w:rsidRPr="00940EFA" w:rsidRDefault="004F22B3" w:rsidP="00D85302">
            <w:pPr>
              <w:rPr>
                <w:b/>
              </w:rPr>
            </w:pPr>
            <w:r w:rsidRPr="00940EFA">
              <w:t>1.1.1. Vaikų kultūra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1.1.2. Aplinkos svetingumas, saugumas, estetika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7165" w:type="dxa"/>
          </w:tcPr>
          <w:p w:rsidR="004F22B3" w:rsidRPr="00940EFA" w:rsidRDefault="004F22B3" w:rsidP="00D85302">
            <w:pPr>
              <w:rPr>
                <w:b/>
              </w:rPr>
            </w:pPr>
            <w:r w:rsidRPr="00940EFA">
              <w:t>1.1.3. IUM mikroklimatas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1.1.4. Lygių galimybių suteikimas ir teisingumas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1.1.5. Tradicijos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pPr>
              <w:rPr>
                <w:b/>
              </w:rPr>
            </w:pPr>
            <w:r w:rsidRPr="00940EFA">
              <w:t>1.2. IUM įvaizdis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1.2.1. Tapatumo ir pasididžiavimo mokykla jausmas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7165" w:type="dxa"/>
          </w:tcPr>
          <w:p w:rsidR="004F22B3" w:rsidRPr="00940EFA" w:rsidRDefault="004F22B3" w:rsidP="00C05CBE">
            <w:r w:rsidRPr="00940EFA">
              <w:t>1.2.2. IUM vieta bendruomenėje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1.2.3. Įvaizdžio kūrimo kultūra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pPr>
              <w:rPr>
                <w:b/>
              </w:rPr>
            </w:pPr>
            <w:r w:rsidRPr="00940EFA">
              <w:t>1.3. IUM partnerystė ir viešieji ryšiai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1.3.1. IUM bendruomenės narių bendravimo ir bendradarbiavimo kokybė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>
            <w:pPr>
              <w:rPr>
                <w:b/>
              </w:rPr>
            </w:pP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1.3.2. Bendravimas ir bendradarbiavimas su socialiniais partneriais</w:t>
            </w:r>
          </w:p>
        </w:tc>
      </w:tr>
      <w:tr w:rsidR="004F22B3" w:rsidRPr="00940EFA" w:rsidTr="00077537">
        <w:trPr>
          <w:trHeight w:val="352"/>
        </w:trPr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1.3.3. Atvirumas pokyčiams</w:t>
            </w:r>
          </w:p>
        </w:tc>
      </w:tr>
      <w:tr w:rsidR="004F22B3" w:rsidRPr="00940EFA" w:rsidTr="00077537">
        <w:tc>
          <w:tcPr>
            <w:tcW w:w="2943" w:type="dxa"/>
            <w:vMerge w:val="restart"/>
          </w:tcPr>
          <w:p w:rsidR="004F22B3" w:rsidRPr="00940EFA" w:rsidRDefault="004F22B3" w:rsidP="00D85302">
            <w:pPr>
              <w:rPr>
                <w:b/>
              </w:rPr>
            </w:pPr>
            <w:r w:rsidRPr="00940EFA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940EFA">
              <w:rPr>
                <w:bCs/>
              </w:rPr>
              <w:t>Vaiko ugdymas ir ugdymasis</w:t>
            </w: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2.1. Ugdymo turinys</w:t>
            </w:r>
          </w:p>
        </w:tc>
        <w:tc>
          <w:tcPr>
            <w:tcW w:w="7165" w:type="dxa"/>
          </w:tcPr>
          <w:p w:rsidR="004F22B3" w:rsidRPr="00940EFA" w:rsidRDefault="004F22B3" w:rsidP="00C4430F">
            <w:r w:rsidRPr="00940EFA">
              <w:t xml:space="preserve">2.1.1. Programų atitiktis valstybės nustatytiems </w:t>
            </w:r>
            <w:r>
              <w:t>kriterijams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2.1.2. Programų tarpusavio dermė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2.1.3. Programų atitiktis vaikų ugdymosi poreikiams ir interesams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>
              <w:t>2.1.4</w:t>
            </w:r>
            <w:r w:rsidRPr="00940EFA">
              <w:t>. Ugdymo(si) aplinkos, priemonių atitiktis vaikų amžiui, poreikiams bei interesams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2.2. Ugdymo(si) turinio ir procedūrų planavimas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2.2.1. Ugdymo turinio ir kasdienės veiklos planavimas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2.2.2. Planavimo procedūrų kokybė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2.2.3. Metodinė pagalba planavimui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2.3. Ugdymo(si)  proceso  kokybė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 xml:space="preserve">2.3.1. Ugdomosios veiklos tikslingumas, veiksmingumas, </w:t>
            </w:r>
            <w:r w:rsidRPr="00940EFA">
              <w:lastRenderedPageBreak/>
              <w:t xml:space="preserve">kūrybiškumas, </w:t>
            </w:r>
            <w:proofErr w:type="spellStart"/>
            <w:r w:rsidRPr="00940EFA">
              <w:t>sistemingumas</w:t>
            </w:r>
            <w:proofErr w:type="spellEnd"/>
          </w:p>
        </w:tc>
      </w:tr>
      <w:tr w:rsidR="004F22B3" w:rsidRPr="00940EFA" w:rsidTr="00077537">
        <w:trPr>
          <w:trHeight w:val="283"/>
        </w:trPr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>
              <w:t>2.3.2</w:t>
            </w:r>
            <w:r w:rsidRPr="00940EFA">
              <w:t>. Auklėtojo ir vaiko sąveika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>
              <w:t>2.3.3</w:t>
            </w:r>
            <w:r w:rsidRPr="00940EFA">
              <w:t>. Ugdymosi motyvacijos palaikymas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2.4. Šeimos ir mokyklos bendravimas ugdymo procese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2.4.1. Šeimos įtraukimas į vaikų ugdymo(si) procesą mokykloje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2.4.2. Šeimos informavimo apie vaiką procedūrų kokybė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53FF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2.4.3. Šeimos gaunamos informacijos kokybė</w:t>
            </w:r>
          </w:p>
        </w:tc>
      </w:tr>
      <w:tr w:rsidR="004F22B3" w:rsidRPr="00940EFA" w:rsidTr="00077537">
        <w:tc>
          <w:tcPr>
            <w:tcW w:w="2943" w:type="dxa"/>
            <w:vMerge w:val="restart"/>
          </w:tcPr>
          <w:p w:rsidR="004F22B3" w:rsidRPr="00940EFA" w:rsidRDefault="004F22B3" w:rsidP="00D85302">
            <w:r w:rsidRPr="00940EFA">
              <w:t>3.</w:t>
            </w:r>
            <w:r>
              <w:t xml:space="preserve"> </w:t>
            </w:r>
            <w:r w:rsidRPr="00940EFA">
              <w:t>Vaiko ugdymo(si) pasiekimai</w:t>
            </w: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3.1. Vaiko raidos ir pasiekimų vertinimas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3.1.1. Vaiko daromos pažangos vertinimo sistema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3.1.2.</w:t>
            </w:r>
            <w:r>
              <w:t xml:space="preserve"> </w:t>
            </w:r>
            <w:r w:rsidRPr="00940EFA">
              <w:t>Auklėtojų ir tėvų veiklos dermė skatinant vaiko pasiekimus ir juos vertinant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3.2. Vaiko pasiekimų kokybė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3.2.1. Vaiko daroma pažanga įvairiais amžiaus tarpsniais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3.2.2. Vaiko pasiekimų kokybė priešmokykliniame amžiuje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3.2.3. Specialiųjų ugdymosi poreikių vaikų ugdymosi pažanga</w:t>
            </w:r>
          </w:p>
        </w:tc>
      </w:tr>
      <w:tr w:rsidR="004F22B3" w:rsidRPr="00940EFA" w:rsidTr="00077537">
        <w:tc>
          <w:tcPr>
            <w:tcW w:w="2943" w:type="dxa"/>
            <w:vMerge w:val="restart"/>
          </w:tcPr>
          <w:p w:rsidR="004F22B3" w:rsidRPr="00940EFA" w:rsidRDefault="004F22B3" w:rsidP="00D85302">
            <w:r w:rsidRPr="00940EFA">
              <w:t>4.</w:t>
            </w:r>
            <w:r>
              <w:t xml:space="preserve"> </w:t>
            </w:r>
            <w:r w:rsidRPr="00940EFA">
              <w:t>Parama ir pagalba vaikui, šeimai</w:t>
            </w: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4.1.</w:t>
            </w:r>
            <w:r>
              <w:t xml:space="preserve"> </w:t>
            </w:r>
            <w:r w:rsidRPr="00940EFA">
              <w:t>Vaiko teisių garantavimas ir atstovavimas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4.1.1. Vaiko teisių atspindėjimas mokyklos veiklos dokumentuose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4.1.2. Vaiko teisių garantavimas mokyklose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4.1.3. Vaiko teisių atstovavimas visuomenėje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4.2. Vaiko poreikių tenkinimas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4.2.1. Individualių vaiko saugumo, emocinių, fizinių ir socialinių poreikių tenkinimas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4.2.2. Vaiko asmeninės raiškos tenkinimas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A5677">
            <w:r w:rsidRPr="00940EFA">
              <w:t xml:space="preserve">4.2.3. </w:t>
            </w:r>
            <w:r>
              <w:t xml:space="preserve">Pedagoginė </w:t>
            </w:r>
            <w:r w:rsidRPr="00940EFA">
              <w:t>ir socialinė pagalba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4.2.4. Vaiko sveikatos stiprinimas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4.2.5. Pagalba specialiųjų ugdymosi poreikių vaikams</w:t>
            </w:r>
          </w:p>
        </w:tc>
      </w:tr>
      <w:tr w:rsidR="004F22B3" w:rsidRPr="00940EFA" w:rsidTr="00077537">
        <w:tc>
          <w:tcPr>
            <w:tcW w:w="2943" w:type="dxa"/>
            <w:vMerge w:val="restart"/>
          </w:tcPr>
          <w:p w:rsidR="004F22B3" w:rsidRPr="00940EFA" w:rsidRDefault="004F22B3" w:rsidP="00D85302">
            <w:r w:rsidRPr="00940EFA">
              <w:t>5. IUM  valdymas</w:t>
            </w:r>
          </w:p>
          <w:p w:rsidR="004F22B3" w:rsidRPr="00940EFA" w:rsidRDefault="004F22B3" w:rsidP="00D85302"/>
        </w:tc>
        <w:tc>
          <w:tcPr>
            <w:tcW w:w="4111" w:type="dxa"/>
            <w:vMerge w:val="restart"/>
          </w:tcPr>
          <w:p w:rsidR="004F22B3" w:rsidRPr="00940EFA" w:rsidRDefault="004F22B3" w:rsidP="00D85302">
            <w:r>
              <w:t xml:space="preserve">5.1. </w:t>
            </w:r>
            <w:r w:rsidRPr="00940EFA">
              <w:t xml:space="preserve">IUM  </w:t>
            </w:r>
            <w:r>
              <w:t>veiklos planavimas</w:t>
            </w:r>
          </w:p>
          <w:p w:rsidR="004F22B3" w:rsidRPr="00940EFA" w:rsidRDefault="004F22B3" w:rsidP="00D85302"/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5.1.1. IUM vizija, misija ir tikslai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5.1.2. Planavimo procedūros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5.1.3. Planų kokybė ir dermė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5.1.4. Plano įgyvendinimas ir jo poveikis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>
            <w:pPr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 xml:space="preserve">5.2. IUM įsivertinimas 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5.2.1. Įsivertinimo procesas</w:t>
            </w:r>
          </w:p>
        </w:tc>
      </w:tr>
      <w:tr w:rsidR="004F22B3" w:rsidRPr="00940EFA" w:rsidTr="00077537">
        <w:trPr>
          <w:trHeight w:val="150"/>
        </w:trPr>
        <w:tc>
          <w:tcPr>
            <w:tcW w:w="2943" w:type="dxa"/>
            <w:vMerge/>
          </w:tcPr>
          <w:p w:rsidR="004F22B3" w:rsidRPr="00940EFA" w:rsidRDefault="004F22B3" w:rsidP="00D85302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5.2.2. Įsivertinimo rezultatų naudojimas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5.3. Vadovavimo stilius</w:t>
            </w:r>
          </w:p>
        </w:tc>
        <w:tc>
          <w:tcPr>
            <w:tcW w:w="7165" w:type="dxa"/>
          </w:tcPr>
          <w:p w:rsidR="004F22B3" w:rsidRPr="00940EFA" w:rsidRDefault="004F22B3" w:rsidP="00201736">
            <w:r w:rsidRPr="00940EFA">
              <w:t xml:space="preserve">5.3.1. </w:t>
            </w:r>
            <w:r>
              <w:t>Vadovavimo principai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5.3.2. Personalo komplektavimas ir darbo organizavimas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 w:val="restart"/>
          </w:tcPr>
          <w:p w:rsidR="004F22B3" w:rsidRPr="00940EFA" w:rsidRDefault="004F22B3" w:rsidP="00D85302">
            <w:r w:rsidRPr="00940EFA">
              <w:t>5.4. Materialinių išteklių valdymas</w:t>
            </w:r>
          </w:p>
        </w:tc>
        <w:tc>
          <w:tcPr>
            <w:tcW w:w="7165" w:type="dxa"/>
          </w:tcPr>
          <w:p w:rsidR="004F22B3" w:rsidRPr="00940EFA" w:rsidRDefault="004F22B3" w:rsidP="00D85302">
            <w:r w:rsidRPr="00940EFA">
              <w:t>5.4.1. Lėšų vadyba</w:t>
            </w:r>
          </w:p>
        </w:tc>
      </w:tr>
      <w:tr w:rsidR="004F22B3" w:rsidRPr="00940EFA" w:rsidTr="00077537">
        <w:tc>
          <w:tcPr>
            <w:tcW w:w="2943" w:type="dxa"/>
            <w:vMerge/>
          </w:tcPr>
          <w:p w:rsidR="004F22B3" w:rsidRPr="00940EFA" w:rsidRDefault="004F22B3" w:rsidP="00D85302"/>
        </w:tc>
        <w:tc>
          <w:tcPr>
            <w:tcW w:w="4111" w:type="dxa"/>
            <w:vMerge/>
          </w:tcPr>
          <w:p w:rsidR="004F22B3" w:rsidRPr="00940EFA" w:rsidRDefault="004F22B3" w:rsidP="00D85302"/>
        </w:tc>
        <w:tc>
          <w:tcPr>
            <w:tcW w:w="7165" w:type="dxa"/>
          </w:tcPr>
          <w:p w:rsidR="004F22B3" w:rsidRPr="00940EFA" w:rsidRDefault="004F22B3" w:rsidP="00D85302">
            <w:r w:rsidRPr="00940EFA">
              <w:t>5.4.2. Patalpų naudojimas</w:t>
            </w:r>
          </w:p>
        </w:tc>
      </w:tr>
    </w:tbl>
    <w:p w:rsidR="004F22B3" w:rsidRPr="00940EFA" w:rsidRDefault="004F22B3" w:rsidP="00077537">
      <w:pPr>
        <w:jc w:val="center"/>
      </w:pPr>
    </w:p>
    <w:sectPr w:rsidR="004F22B3" w:rsidRPr="00940EFA" w:rsidSect="0007753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DA" w:rsidRDefault="00C05FDA" w:rsidP="0093757E">
      <w:r>
        <w:separator/>
      </w:r>
    </w:p>
  </w:endnote>
  <w:endnote w:type="continuationSeparator" w:id="0">
    <w:p w:rsidR="00C05FDA" w:rsidRDefault="00C05FDA" w:rsidP="0093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DA" w:rsidRDefault="00C05FDA" w:rsidP="0093757E">
      <w:r>
        <w:separator/>
      </w:r>
    </w:p>
  </w:footnote>
  <w:footnote w:type="continuationSeparator" w:id="0">
    <w:p w:rsidR="00C05FDA" w:rsidRDefault="00C05FDA" w:rsidP="0093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586"/>
    <w:multiLevelType w:val="hybridMultilevel"/>
    <w:tmpl w:val="42845752"/>
    <w:lvl w:ilvl="0" w:tplc="6BBED98A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0E1"/>
    <w:rsid w:val="00021A88"/>
    <w:rsid w:val="000252FC"/>
    <w:rsid w:val="000427C5"/>
    <w:rsid w:val="00065495"/>
    <w:rsid w:val="00077537"/>
    <w:rsid w:val="00082DB5"/>
    <w:rsid w:val="000832D7"/>
    <w:rsid w:val="0008451E"/>
    <w:rsid w:val="00087FCE"/>
    <w:rsid w:val="000A7D8D"/>
    <w:rsid w:val="000B38D2"/>
    <w:rsid w:val="000B4330"/>
    <w:rsid w:val="000B5820"/>
    <w:rsid w:val="000F5D7E"/>
    <w:rsid w:val="000F76B9"/>
    <w:rsid w:val="001259FA"/>
    <w:rsid w:val="00135CD4"/>
    <w:rsid w:val="00156F9C"/>
    <w:rsid w:val="00166BAA"/>
    <w:rsid w:val="00174931"/>
    <w:rsid w:val="0019424E"/>
    <w:rsid w:val="001A64F0"/>
    <w:rsid w:val="001C0BEC"/>
    <w:rsid w:val="001C0F36"/>
    <w:rsid w:val="001C7D3B"/>
    <w:rsid w:val="001E11C2"/>
    <w:rsid w:val="00201736"/>
    <w:rsid w:val="00206A55"/>
    <w:rsid w:val="00230437"/>
    <w:rsid w:val="0023089B"/>
    <w:rsid w:val="0023223E"/>
    <w:rsid w:val="00233BDE"/>
    <w:rsid w:val="0024564F"/>
    <w:rsid w:val="00246306"/>
    <w:rsid w:val="00252C12"/>
    <w:rsid w:val="00264F63"/>
    <w:rsid w:val="00267AFD"/>
    <w:rsid w:val="00281E12"/>
    <w:rsid w:val="0029052D"/>
    <w:rsid w:val="002A17EC"/>
    <w:rsid w:val="002A43F3"/>
    <w:rsid w:val="002A741B"/>
    <w:rsid w:val="002B72D0"/>
    <w:rsid w:val="002B787D"/>
    <w:rsid w:val="002D4194"/>
    <w:rsid w:val="002D73EC"/>
    <w:rsid w:val="002E7351"/>
    <w:rsid w:val="002F149E"/>
    <w:rsid w:val="002F653F"/>
    <w:rsid w:val="0032336D"/>
    <w:rsid w:val="0034120F"/>
    <w:rsid w:val="00343720"/>
    <w:rsid w:val="00362A3C"/>
    <w:rsid w:val="00397DB4"/>
    <w:rsid w:val="003B41F8"/>
    <w:rsid w:val="003C47BA"/>
    <w:rsid w:val="003D3A37"/>
    <w:rsid w:val="003E03E1"/>
    <w:rsid w:val="00407B75"/>
    <w:rsid w:val="00411462"/>
    <w:rsid w:val="0043066C"/>
    <w:rsid w:val="00440D3C"/>
    <w:rsid w:val="00453D2B"/>
    <w:rsid w:val="00463357"/>
    <w:rsid w:val="00464662"/>
    <w:rsid w:val="0048643D"/>
    <w:rsid w:val="0049735C"/>
    <w:rsid w:val="004D0225"/>
    <w:rsid w:val="004D2B58"/>
    <w:rsid w:val="004E5FB3"/>
    <w:rsid w:val="004F22B3"/>
    <w:rsid w:val="00511E11"/>
    <w:rsid w:val="0051473C"/>
    <w:rsid w:val="0051515C"/>
    <w:rsid w:val="005228A4"/>
    <w:rsid w:val="005273EC"/>
    <w:rsid w:val="0053065B"/>
    <w:rsid w:val="00536966"/>
    <w:rsid w:val="005473FF"/>
    <w:rsid w:val="005549F4"/>
    <w:rsid w:val="0057736B"/>
    <w:rsid w:val="0058172B"/>
    <w:rsid w:val="0058547D"/>
    <w:rsid w:val="0059135D"/>
    <w:rsid w:val="00596B6E"/>
    <w:rsid w:val="005A74FB"/>
    <w:rsid w:val="005C2E03"/>
    <w:rsid w:val="005C72BD"/>
    <w:rsid w:val="005D7AEA"/>
    <w:rsid w:val="006068FE"/>
    <w:rsid w:val="006167F4"/>
    <w:rsid w:val="00620434"/>
    <w:rsid w:val="006403EE"/>
    <w:rsid w:val="00646FBF"/>
    <w:rsid w:val="0066788F"/>
    <w:rsid w:val="006721F2"/>
    <w:rsid w:val="00684518"/>
    <w:rsid w:val="006A7178"/>
    <w:rsid w:val="006B0B08"/>
    <w:rsid w:val="006B6F08"/>
    <w:rsid w:val="006D045D"/>
    <w:rsid w:val="006E1CF8"/>
    <w:rsid w:val="006F0AD4"/>
    <w:rsid w:val="00704F6B"/>
    <w:rsid w:val="00713F3B"/>
    <w:rsid w:val="00727205"/>
    <w:rsid w:val="00727899"/>
    <w:rsid w:val="00767134"/>
    <w:rsid w:val="00781946"/>
    <w:rsid w:val="00782045"/>
    <w:rsid w:val="007858D6"/>
    <w:rsid w:val="00790D74"/>
    <w:rsid w:val="00797242"/>
    <w:rsid w:val="007B2387"/>
    <w:rsid w:val="007B6DDA"/>
    <w:rsid w:val="007F328D"/>
    <w:rsid w:val="007F53EB"/>
    <w:rsid w:val="0083570B"/>
    <w:rsid w:val="008573D1"/>
    <w:rsid w:val="00857462"/>
    <w:rsid w:val="008B3E14"/>
    <w:rsid w:val="008C4564"/>
    <w:rsid w:val="008D3583"/>
    <w:rsid w:val="008D5415"/>
    <w:rsid w:val="008D7652"/>
    <w:rsid w:val="008E4D13"/>
    <w:rsid w:val="008E518E"/>
    <w:rsid w:val="008E594B"/>
    <w:rsid w:val="008E66E2"/>
    <w:rsid w:val="00911378"/>
    <w:rsid w:val="00916740"/>
    <w:rsid w:val="0093757E"/>
    <w:rsid w:val="0094006F"/>
    <w:rsid w:val="00940EFA"/>
    <w:rsid w:val="0094204B"/>
    <w:rsid w:val="00947338"/>
    <w:rsid w:val="009614CD"/>
    <w:rsid w:val="009672FF"/>
    <w:rsid w:val="009A6BAA"/>
    <w:rsid w:val="009B13BA"/>
    <w:rsid w:val="009B16D1"/>
    <w:rsid w:val="009B17ED"/>
    <w:rsid w:val="009C3253"/>
    <w:rsid w:val="009D361E"/>
    <w:rsid w:val="00A00460"/>
    <w:rsid w:val="00A24561"/>
    <w:rsid w:val="00A25028"/>
    <w:rsid w:val="00A31457"/>
    <w:rsid w:val="00A41239"/>
    <w:rsid w:val="00A439EC"/>
    <w:rsid w:val="00AA0367"/>
    <w:rsid w:val="00AB2141"/>
    <w:rsid w:val="00AD780C"/>
    <w:rsid w:val="00AF59C5"/>
    <w:rsid w:val="00B17F5F"/>
    <w:rsid w:val="00B230E1"/>
    <w:rsid w:val="00B26207"/>
    <w:rsid w:val="00B31BF4"/>
    <w:rsid w:val="00B42045"/>
    <w:rsid w:val="00B43CA1"/>
    <w:rsid w:val="00B51C0B"/>
    <w:rsid w:val="00B7162E"/>
    <w:rsid w:val="00B72BA3"/>
    <w:rsid w:val="00BA7AB8"/>
    <w:rsid w:val="00BB44E2"/>
    <w:rsid w:val="00BB51BD"/>
    <w:rsid w:val="00BC2453"/>
    <w:rsid w:val="00BD0485"/>
    <w:rsid w:val="00BD31F7"/>
    <w:rsid w:val="00BD62F2"/>
    <w:rsid w:val="00BD62F4"/>
    <w:rsid w:val="00C007F9"/>
    <w:rsid w:val="00C0326A"/>
    <w:rsid w:val="00C03903"/>
    <w:rsid w:val="00C05CBE"/>
    <w:rsid w:val="00C05FDA"/>
    <w:rsid w:val="00C07B1A"/>
    <w:rsid w:val="00C142D1"/>
    <w:rsid w:val="00C31044"/>
    <w:rsid w:val="00C32F0C"/>
    <w:rsid w:val="00C4430F"/>
    <w:rsid w:val="00C46AE3"/>
    <w:rsid w:val="00C50F45"/>
    <w:rsid w:val="00C621C1"/>
    <w:rsid w:val="00C81E72"/>
    <w:rsid w:val="00C87C1B"/>
    <w:rsid w:val="00CC1CDD"/>
    <w:rsid w:val="00CE770F"/>
    <w:rsid w:val="00CF61B1"/>
    <w:rsid w:val="00D03595"/>
    <w:rsid w:val="00D15487"/>
    <w:rsid w:val="00D179FC"/>
    <w:rsid w:val="00D23F48"/>
    <w:rsid w:val="00D44E36"/>
    <w:rsid w:val="00D53FF6"/>
    <w:rsid w:val="00D64238"/>
    <w:rsid w:val="00D76B59"/>
    <w:rsid w:val="00D8335F"/>
    <w:rsid w:val="00D85302"/>
    <w:rsid w:val="00DA1B06"/>
    <w:rsid w:val="00DA5677"/>
    <w:rsid w:val="00DD47EC"/>
    <w:rsid w:val="00E0441E"/>
    <w:rsid w:val="00E20EB2"/>
    <w:rsid w:val="00E5215C"/>
    <w:rsid w:val="00E5604E"/>
    <w:rsid w:val="00E56D11"/>
    <w:rsid w:val="00E9217E"/>
    <w:rsid w:val="00E951D4"/>
    <w:rsid w:val="00EA66A6"/>
    <w:rsid w:val="00EB7EF6"/>
    <w:rsid w:val="00EC3C5F"/>
    <w:rsid w:val="00EE4C81"/>
    <w:rsid w:val="00EF402D"/>
    <w:rsid w:val="00F033D7"/>
    <w:rsid w:val="00F04BAD"/>
    <w:rsid w:val="00F0630C"/>
    <w:rsid w:val="00F13053"/>
    <w:rsid w:val="00F508FB"/>
    <w:rsid w:val="00F54C87"/>
    <w:rsid w:val="00F56FE2"/>
    <w:rsid w:val="00F7473D"/>
    <w:rsid w:val="00F81745"/>
    <w:rsid w:val="00F91A41"/>
    <w:rsid w:val="00FA7433"/>
    <w:rsid w:val="00FB66F4"/>
    <w:rsid w:val="00FC769C"/>
    <w:rsid w:val="00FD7371"/>
    <w:rsid w:val="00FE1982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attachedSchema w:val="schemas-tilde-lv/tildestengine"/>
  <w:attachedSchema w:val="schemas-tilde-lt/tildestengine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0E1"/>
    <w:rPr>
      <w:rFonts w:ascii="Times New Roman" w:eastAsia="Times New Roman" w:hAnsi="Times New Roman"/>
      <w:sz w:val="24"/>
      <w:szCs w:val="24"/>
      <w:lang w:eastAsia="en-GB"/>
    </w:rPr>
  </w:style>
  <w:style w:type="paragraph" w:styleId="Antrat9">
    <w:name w:val="heading 9"/>
    <w:basedOn w:val="prastasis"/>
    <w:next w:val="prastasis"/>
    <w:link w:val="Antrat9Diagrama"/>
    <w:uiPriority w:val="99"/>
    <w:qFormat/>
    <w:locked/>
    <w:rsid w:val="00B7162E"/>
    <w:pPr>
      <w:keepNext/>
      <w:jc w:val="center"/>
      <w:outlineLvl w:val="8"/>
    </w:pPr>
    <w:rPr>
      <w:rFonts w:ascii="Cambria" w:eastAsia="Calibri" w:hAnsi="Cambria"/>
      <w:sz w:val="20"/>
      <w:szCs w:val="20"/>
      <w:lang w:val="en-GB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F0630C"/>
    <w:rPr>
      <w:rFonts w:ascii="Cambria" w:hAnsi="Cambria" w:cs="Times New Roman"/>
      <w:lang w:val="en-GB" w:eastAsia="en-GB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rsid w:val="00B23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B230E1"/>
    <w:rPr>
      <w:rFonts w:ascii="Courier New" w:hAnsi="Courier New" w:cs="Times New Roman"/>
      <w:sz w:val="20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B230E1"/>
    <w:rPr>
      <w:rFonts w:eastAsia="Calibri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B230E1"/>
    <w:rPr>
      <w:rFonts w:ascii="Times New Roman" w:hAnsi="Times New Roman" w:cs="Times New Roman"/>
      <w:sz w:val="2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rsid w:val="00B230E1"/>
    <w:rPr>
      <w:rFonts w:ascii="Courier New" w:eastAsia="Calibri" w:hAnsi="Courier New"/>
      <w:sz w:val="20"/>
      <w:szCs w:val="20"/>
      <w:lang w:val="en-GB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locked/>
    <w:rsid w:val="00B230E1"/>
    <w:rPr>
      <w:rFonts w:ascii="Courier New" w:hAnsi="Courier New" w:cs="Times New Roman"/>
      <w:sz w:val="20"/>
      <w:lang w:val="en-GB" w:eastAsia="en-GB"/>
    </w:rPr>
  </w:style>
  <w:style w:type="character" w:styleId="Grietas">
    <w:name w:val="Strong"/>
    <w:basedOn w:val="Numatytasispastraiposriftas"/>
    <w:uiPriority w:val="99"/>
    <w:qFormat/>
    <w:rsid w:val="00B230E1"/>
    <w:rPr>
      <w:rFonts w:cs="Times New Roman"/>
      <w:b/>
    </w:rPr>
  </w:style>
  <w:style w:type="paragraph" w:styleId="Pavadinimas">
    <w:name w:val="Title"/>
    <w:basedOn w:val="prastasis"/>
    <w:link w:val="PavadinimasDiagrama"/>
    <w:uiPriority w:val="99"/>
    <w:qFormat/>
    <w:locked/>
    <w:rsid w:val="000F76B9"/>
    <w:pPr>
      <w:jc w:val="center"/>
    </w:pPr>
    <w:rPr>
      <w:rFonts w:ascii="Cambria" w:eastAsia="Calibri" w:hAnsi="Cambria"/>
      <w:b/>
      <w:bCs/>
      <w:kern w:val="28"/>
      <w:sz w:val="32"/>
      <w:szCs w:val="32"/>
      <w:lang w:val="en-GB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0630C"/>
    <w:rPr>
      <w:rFonts w:ascii="Cambria" w:hAnsi="Cambria" w:cs="Times New Roman"/>
      <w:b/>
      <w:kern w:val="28"/>
      <w:sz w:val="32"/>
      <w:lang w:val="en-GB" w:eastAsia="en-GB"/>
    </w:rPr>
  </w:style>
  <w:style w:type="paragraph" w:styleId="Pagrindinistekstas">
    <w:name w:val="Body Text"/>
    <w:basedOn w:val="prastasis"/>
    <w:link w:val="PagrindinistekstasDiagrama"/>
    <w:uiPriority w:val="99"/>
    <w:rsid w:val="000F76B9"/>
    <w:rPr>
      <w:rFonts w:ascii="Calibri" w:eastAsia="Calibri" w:hAnsi="Calibri"/>
      <w:b/>
      <w:szCs w:val="20"/>
      <w:lang w:val="en-GB" w:eastAsia="en-US"/>
    </w:r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locked/>
    <w:rsid w:val="00F0630C"/>
    <w:rPr>
      <w:rFonts w:ascii="Times New Roman" w:hAnsi="Times New Roman" w:cs="Times New Roman"/>
      <w:sz w:val="24"/>
      <w:lang w:val="en-GB" w:eastAsia="en-GB"/>
    </w:rPr>
  </w:style>
  <w:style w:type="character" w:customStyle="1" w:styleId="PagrindinistekstasDiagrama">
    <w:name w:val="Pagrindinis tekstas Diagrama"/>
    <w:link w:val="Pagrindinistekstas"/>
    <w:uiPriority w:val="99"/>
    <w:locked/>
    <w:rsid w:val="000F76B9"/>
    <w:rPr>
      <w:b/>
      <w:sz w:val="24"/>
      <w:lang w:val="en-GB" w:eastAsia="en-US"/>
    </w:rPr>
  </w:style>
  <w:style w:type="table" w:styleId="Lentelstinklelis">
    <w:name w:val="Table Grid"/>
    <w:basedOn w:val="prastojilentel"/>
    <w:uiPriority w:val="99"/>
    <w:locked/>
    <w:rsid w:val="000F76B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93757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3757E"/>
    <w:rPr>
      <w:rFonts w:ascii="Times New Roman" w:hAnsi="Times New Roman" w:cs="Times New Roman"/>
      <w:sz w:val="24"/>
      <w:szCs w:val="24"/>
      <w:lang w:val="en-GB" w:eastAsia="en-GB"/>
    </w:rPr>
  </w:style>
  <w:style w:type="paragraph" w:styleId="Porat">
    <w:name w:val="footer"/>
    <w:basedOn w:val="prastasis"/>
    <w:link w:val="PoratDiagrama"/>
    <w:uiPriority w:val="99"/>
    <w:rsid w:val="009375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3757E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2055</Words>
  <Characters>1172</Characters>
  <Application>Microsoft Office Word</Application>
  <DocSecurity>0</DocSecurity>
  <Lines>9</Lines>
  <Paragraphs>6</Paragraphs>
  <ScaleCrop>false</ScaleCrop>
  <Company>Hewlett-Packard Company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dc:description/>
  <cp:lastModifiedBy>Dell</cp:lastModifiedBy>
  <cp:revision>5</cp:revision>
  <cp:lastPrinted>2012-12-06T08:56:00Z</cp:lastPrinted>
  <dcterms:created xsi:type="dcterms:W3CDTF">2013-01-02T08:04:00Z</dcterms:created>
  <dcterms:modified xsi:type="dcterms:W3CDTF">2015-01-07T17:29:00Z</dcterms:modified>
</cp:coreProperties>
</file>